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996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MEMORIAL DESCRITIVO DE REFORMA</w:t>
      </w: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Style w:val="4"/>
          <w:rFonts w:hint="default" w:ascii="Arial" w:hAnsi="Arial" w:cs="Arial"/>
          <w:sz w:val="20"/>
          <w:szCs w:val="20"/>
        </w:rPr>
        <w:t>ASSOCIAÇÃO DE MORADORES – SEÇÃO PROGRESSO</w:t>
      </w:r>
    </w:p>
    <w:p w14:paraId="120B1A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Obra: Reforma e Ampliação de Edificação Existente</w:t>
      </w: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Local: Associação de Moradores – Seção Progresso</w:t>
      </w:r>
    </w:p>
    <w:p w14:paraId="48D13F8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Área total de intervenção: 70,00 m²</w:t>
      </w:r>
    </w:p>
    <w:p w14:paraId="0AD32F3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Reforma interna: 42,00 m²</w:t>
      </w:r>
    </w:p>
    <w:p w14:paraId="416BEA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Ampliação (cobertura + churrasqueira): 28,00 m²</w:t>
      </w:r>
    </w:p>
    <w:p w14:paraId="37D796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405EBE8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OBJETIVO</w:t>
      </w:r>
    </w:p>
    <w:p w14:paraId="19F691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</w:rPr>
        <w:t>O presente memorial descritivo tem como objetivo estabelecer as diretrizes técnicas para a execução da reforma e ampliação da edificação pertencente à Associação de Moradores – Seção Progresso, visando a melhoria das condições de uso, funcionalidade e adequação dos espaços existentes, bem como a criação de área coberta com churrasqueira para uso comunitário.</w:t>
      </w:r>
    </w:p>
    <w:p w14:paraId="65C716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1A1BAF5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SERVIÇOS PRELIMINARES</w:t>
      </w:r>
    </w:p>
    <w:p w14:paraId="4EECE2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2504DBB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Limpeza geral do terreno e da edificação existente;</w:t>
      </w:r>
    </w:p>
    <w:p w14:paraId="214CAEE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Proteção das áreas não afetadas pela obra;</w:t>
      </w:r>
    </w:p>
    <w:p w14:paraId="15D7EBF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Demarcação das áreas de intervenção;</w:t>
      </w:r>
    </w:p>
    <w:p w14:paraId="0EDA200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de canteiro de obras, se necessário.</w:t>
      </w:r>
    </w:p>
    <w:p w14:paraId="4F39F4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6289AC9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DEMOLIÇÕES E REMOÇÕES</w:t>
      </w:r>
    </w:p>
    <w:p w14:paraId="37776B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239A060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Remoção de revestimentos deteriorados (pisos e paredes);</w:t>
      </w:r>
    </w:p>
    <w:p w14:paraId="29DD825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Demolição de elementos construtivos internos conforme necessidade de adequação do layout;</w:t>
      </w:r>
    </w:p>
    <w:p w14:paraId="67BA571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Retirada de esquadrias danificadas ou obsoletas;</w:t>
      </w:r>
    </w:p>
    <w:p w14:paraId="66E62A8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Destinação adequada dos resíduos conforme normas ambientais vigentes.</w:t>
      </w:r>
    </w:p>
    <w:p w14:paraId="4DD3E5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79CD04A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REFORMA INTERNA (42,00 m²)</w:t>
      </w:r>
    </w:p>
    <w:p w14:paraId="4472E3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188AEF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5.1 Alvenaria</w:t>
      </w:r>
    </w:p>
    <w:p w14:paraId="1A2B78C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Execução de novas paredes em alvenaria de vedação, conforme projeto;</w:t>
      </w:r>
    </w:p>
    <w:p w14:paraId="5CCA8D4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Regularização de superfícies existentes.</w:t>
      </w:r>
    </w:p>
    <w:p w14:paraId="50AD62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5.2 Revestimentos</w:t>
      </w:r>
    </w:p>
    <w:p w14:paraId="2A513DF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Assentamento de piso cerâmico ou porcelanato;</w:t>
      </w:r>
    </w:p>
    <w:p w14:paraId="747E15E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Revestimento de paredes em áreas molhadas;</w:t>
      </w:r>
    </w:p>
    <w:p w14:paraId="558ABDC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Execução de rodapés.</w:t>
      </w:r>
    </w:p>
    <w:p w14:paraId="394A44A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sz w:val="20"/>
          <w:szCs w:val="20"/>
          <w:lang w:val="pt-BR"/>
        </w:rPr>
        <w:t>E</w:t>
      </w:r>
      <w:r>
        <w:rPr>
          <w:rFonts w:hint="default" w:ascii="Arial" w:hAnsi="Arial" w:eastAsia="SimSun" w:cs="Arial"/>
          <w:sz w:val="20"/>
          <w:szCs w:val="20"/>
        </w:rPr>
        <w:t>xecução</w:t>
      </w:r>
      <w:r>
        <w:rPr>
          <w:rFonts w:hint="default" w:ascii="Arial" w:hAnsi="Arial" w:cs="Arial"/>
          <w:sz w:val="20"/>
          <w:szCs w:val="20"/>
          <w:lang w:val="pt-BR"/>
        </w:rPr>
        <w:t xml:space="preserve"> de forro na cozinha.</w:t>
      </w:r>
    </w:p>
    <w:p w14:paraId="1DDDEF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5.3 Esquadrias</w:t>
      </w:r>
    </w:p>
    <w:p w14:paraId="0205AB6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de novas janelas e portas (3 janelas e 1 porta, conforme especificação);</w:t>
      </w:r>
    </w:p>
    <w:p w14:paraId="5C6D49E8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Materiais a definir (alumínio ou similar).</w:t>
      </w:r>
    </w:p>
    <w:p w14:paraId="59C0A9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5.4 Pintura</w:t>
      </w:r>
    </w:p>
    <w:p w14:paraId="2997026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Aplicação de selador;</w:t>
      </w:r>
    </w:p>
    <w:p w14:paraId="39B1D8B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Pintura interna com tinta acrílica em paredes e tetos;</w:t>
      </w:r>
    </w:p>
    <w:p w14:paraId="6D1D873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Acabamento conforme padrão definido.</w:t>
      </w:r>
    </w:p>
    <w:p w14:paraId="4B9BFA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5C8DFA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5.5 Instalações Hidráulicas</w:t>
      </w:r>
    </w:p>
    <w:p w14:paraId="6302330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Adequação e/ou substituição das tubulações existentes;</w:t>
      </w:r>
    </w:p>
    <w:p w14:paraId="123530DA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de pontos de água e esgoto conforme novo layout.</w:t>
      </w:r>
    </w:p>
    <w:p w14:paraId="7F43B57A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4C237D68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325F75A0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44C7BF93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p w14:paraId="43D75D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7272C6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5.6 Instalações Elétricas</w:t>
      </w:r>
    </w:p>
    <w:p w14:paraId="33F884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570435F1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Revisão e adequação da rede elétrica;</w:t>
      </w:r>
    </w:p>
    <w:p w14:paraId="79047B29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de novos pontos de iluminação e tomadas;</w:t>
      </w:r>
    </w:p>
    <w:p w14:paraId="69F87DF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Quadro de distribuição conforme normas vigentes.</w:t>
      </w:r>
    </w:p>
    <w:p w14:paraId="7BF200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63D2DD6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AMPLIAÇÃO – COBERTURA E CHURRASQUEIRA (28,00 m²)</w:t>
      </w:r>
    </w:p>
    <w:p w14:paraId="04FB8C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2632F3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6.1 Estrutura da Cobertura</w:t>
      </w:r>
    </w:p>
    <w:p w14:paraId="1B368555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Execução de estrutura em madeira ou metálica;</w:t>
      </w:r>
    </w:p>
    <w:p w14:paraId="16CBF96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Cobertura com telhas fibrocimento</w:t>
      </w:r>
      <w:r>
        <w:rPr>
          <w:rFonts w:hint="default" w:ascii="Arial" w:hAnsi="Arial" w:cs="Arial"/>
          <w:sz w:val="20"/>
          <w:szCs w:val="20"/>
          <w:lang w:val="pt-BR"/>
        </w:rPr>
        <w:t xml:space="preserve"> ou</w:t>
      </w:r>
      <w:r>
        <w:rPr>
          <w:rFonts w:hint="default" w:ascii="Arial" w:hAnsi="Arial" w:cs="Arial"/>
          <w:sz w:val="20"/>
          <w:szCs w:val="20"/>
        </w:rPr>
        <w:t xml:space="preserve"> metálicas;</w:t>
      </w:r>
    </w:p>
    <w:p w14:paraId="11CB5268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Inclinação adequada para escoamento pluvial.</w:t>
      </w:r>
    </w:p>
    <w:p w14:paraId="5705D1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7BD58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6.2 Piso Externo</w:t>
      </w:r>
    </w:p>
    <w:p w14:paraId="54A2225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Execução de contrapiso;</w:t>
      </w:r>
    </w:p>
    <w:p w14:paraId="3D2CA1B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Assentamento de revestimento cerâmico antiderrapante.</w:t>
      </w:r>
    </w:p>
    <w:p w14:paraId="1622F8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6.3 Churrasqueira</w:t>
      </w:r>
    </w:p>
    <w:p w14:paraId="620F433B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Construção em alvenaria;</w:t>
      </w:r>
    </w:p>
    <w:p w14:paraId="5C3A9EF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Revestimento interno com material refratário;</w:t>
      </w:r>
    </w:p>
    <w:p w14:paraId="7D176D4D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Acabamento externo conforme padrão arquitetônico;</w:t>
      </w:r>
    </w:p>
    <w:p w14:paraId="178CA233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de chaminé para exaustão de fumaça.</w:t>
      </w:r>
    </w:p>
    <w:p w14:paraId="3DF3C2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1C0A945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BANCADAS</w:t>
      </w:r>
    </w:p>
    <w:p w14:paraId="1CEA93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0664B5C0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Execução de bancadas em pedra (granito ou mármore);</w:t>
      </w:r>
    </w:p>
    <w:p w14:paraId="5DF94FB4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Instalação conforme necessidade funcional do espaço.</w:t>
      </w:r>
    </w:p>
    <w:p w14:paraId="19A28C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360" w:leftChars="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2FD5900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  <w:r>
        <w:rPr>
          <w:rStyle w:val="4"/>
          <w:rFonts w:hint="default" w:ascii="Arial" w:hAnsi="Arial" w:cs="Arial"/>
          <w:sz w:val="20"/>
          <w:szCs w:val="20"/>
        </w:rPr>
        <w:t>LIMPEZA FINAL</w:t>
      </w:r>
    </w:p>
    <w:p w14:paraId="4E8D6D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Chars="0"/>
        <w:jc w:val="both"/>
        <w:textAlignment w:val="auto"/>
        <w:rPr>
          <w:rStyle w:val="4"/>
          <w:rFonts w:hint="default" w:ascii="Arial" w:hAnsi="Arial" w:cs="Arial"/>
          <w:sz w:val="20"/>
          <w:szCs w:val="20"/>
        </w:rPr>
      </w:pPr>
    </w:p>
    <w:p w14:paraId="4008DBA5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Remoção de entulhos;</w:t>
      </w:r>
    </w:p>
    <w:p w14:paraId="74875DC6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Limpeza geral da obra;</w:t>
      </w:r>
    </w:p>
    <w:p w14:paraId="1C39F0FD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720" w:hanging="36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Entrega do espaço em condições de uso.</w:t>
      </w:r>
    </w:p>
    <w:p w14:paraId="0E6E7B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0C9827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4A28E"/>
    <w:multiLevelType w:val="multilevel"/>
    <w:tmpl w:val="A874A2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B2D95F0"/>
    <w:multiLevelType w:val="multilevel"/>
    <w:tmpl w:val="AB2D95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7150C97"/>
    <w:multiLevelType w:val="multilevel"/>
    <w:tmpl w:val="D7150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C97694B"/>
    <w:multiLevelType w:val="multilevel"/>
    <w:tmpl w:val="DC9769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EC588B4"/>
    <w:multiLevelType w:val="multilevel"/>
    <w:tmpl w:val="DEC588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A4DB411"/>
    <w:multiLevelType w:val="multilevel"/>
    <w:tmpl w:val="EA4DB4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3A923A8"/>
    <w:multiLevelType w:val="multilevel"/>
    <w:tmpl w:val="F3A923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E6EA6B5"/>
    <w:multiLevelType w:val="multilevel"/>
    <w:tmpl w:val="FE6EA6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028A9D9B"/>
    <w:multiLevelType w:val="multilevel"/>
    <w:tmpl w:val="028A9D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97B9B68"/>
    <w:multiLevelType w:val="multilevel"/>
    <w:tmpl w:val="097B9B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2DBCEEE3"/>
    <w:multiLevelType w:val="multilevel"/>
    <w:tmpl w:val="2DBCEE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64B0DD9"/>
    <w:multiLevelType w:val="multilevel"/>
    <w:tmpl w:val="364B0D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56F1BD3A"/>
    <w:multiLevelType w:val="multilevel"/>
    <w:tmpl w:val="56F1BD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74C40A0D"/>
    <w:multiLevelType w:val="multilevel"/>
    <w:tmpl w:val="74C40A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798FB9A8"/>
    <w:multiLevelType w:val="singleLevel"/>
    <w:tmpl w:val="798FB9A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F0363F"/>
    <w:rsid w:val="19250A51"/>
    <w:rsid w:val="31691C40"/>
    <w:rsid w:val="4DD67DE5"/>
    <w:rsid w:val="52354A23"/>
    <w:rsid w:val="5C6B266A"/>
    <w:rsid w:val="63D65B88"/>
    <w:rsid w:val="7B6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2026-04-08T15:05:00Z</dcterms:created>
  <dc:creator>User</dc:creator>
  <cp:lastModifiedBy>User</cp:lastModifiedBy>
  <dcterms:modified xsi:type="dcterms:W3CDTF">2026-04-09T11:50:53Z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0857F6C2F85949F2A818A68F99EC5404_11</vt:lpwstr>
  </property>
</Properties>
</file>