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047B8F2B" w:rsidR="009B2C05" w:rsidRPr="00B07CDE" w:rsidRDefault="00BD3D4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23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4D71FB" w:rsidRPr="00B07CDE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8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11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</w:t>
            </w:r>
            <w:r w:rsidR="002F516C" w:rsidRPr="00B07CDE">
              <w:rPr>
                <w:rFonts w:ascii="Arial" w:eastAsia="Arial Unicode MS" w:hAnsi="Arial" w:cs="Arial"/>
                <w:b/>
              </w:rPr>
              <w:t>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BD3D4B" w:rsidRPr="003221CF" w14:paraId="2409C4BF" w14:textId="77777777" w:rsidTr="00BD3D4B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D934" w14:textId="77777777" w:rsidR="00BD3D4B" w:rsidRDefault="00BD3D4B" w:rsidP="004E6879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Substitutivo Geral ao Projeto de Lei nº 36/2024, de autoria da Comissão de Redação e Justiça.</w:t>
            </w:r>
          </w:p>
          <w:p w14:paraId="67A45ADB" w14:textId="77777777" w:rsidR="00BD3D4B" w:rsidRDefault="00BD3D4B" w:rsidP="004E6879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1E4" w14:textId="77777777" w:rsidR="00BD3D4B" w:rsidRPr="00BD3D4B" w:rsidRDefault="00BD3D4B" w:rsidP="00BD3D4B">
            <w:pPr>
              <w:contextualSpacing/>
              <w:jc w:val="both"/>
              <w:rPr>
                <w:rFonts w:ascii="Segoe UI" w:hAnsi="Segoe UI" w:cs="Segoe UI"/>
              </w:rPr>
            </w:pPr>
            <w:r w:rsidRPr="00BD3D4B">
              <w:rPr>
                <w:rFonts w:ascii="Segoe UI" w:hAnsi="Segoe UI" w:cs="Segoe UI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</w:tc>
      </w:tr>
      <w:tr w:rsidR="00BD3D4B" w:rsidRPr="00A15FED" w14:paraId="1A8C9BE0" w14:textId="77777777" w:rsidTr="00BD3D4B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A0B7" w14:textId="77777777" w:rsidR="00BD3D4B" w:rsidRDefault="00BD3D4B" w:rsidP="004E6879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Substitutivo Geral ao Projeto de Lei nº 37/2024, de autoria da Comissão de Redação e Justiça.</w:t>
            </w:r>
          </w:p>
          <w:p w14:paraId="5C9B5157" w14:textId="77777777" w:rsidR="00BD3D4B" w:rsidRDefault="00BD3D4B" w:rsidP="004E6879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DAC" w14:textId="77777777" w:rsidR="00BD3D4B" w:rsidRPr="00BD3D4B" w:rsidRDefault="00BD3D4B" w:rsidP="00BD3D4B">
            <w:pPr>
              <w:contextualSpacing/>
              <w:jc w:val="both"/>
              <w:rPr>
                <w:rFonts w:ascii="Segoe UI" w:hAnsi="Segoe UI" w:cs="Segoe UI"/>
              </w:rPr>
            </w:pPr>
            <w:r w:rsidRPr="00BD3D4B">
              <w:rPr>
                <w:rFonts w:ascii="Segoe UI" w:hAnsi="Segoe UI" w:cs="Segoe UI"/>
              </w:rPr>
              <w:t>Dispõe sobre a fixação do subsídio dos Vereadores e do Presidente da Câmara Municipal de Vereadores de Francisco Beltrão – Estado do Paraná, para a legislatura 2025 / 2028.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3F1363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2024-06-06T17:00:00Z</cp:lastPrinted>
  <dcterms:created xsi:type="dcterms:W3CDTF">2024-08-21T15:08:00Z</dcterms:created>
  <dcterms:modified xsi:type="dcterms:W3CDTF">2024-08-21T15:08:00Z</dcterms:modified>
</cp:coreProperties>
</file>