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bbbbbb" w:space="0" w:sz="6" w:val="dashed"/>
          <w:left w:color="dddddd" w:space="0" w:sz="6" w:val="single"/>
          <w:bottom w:color="dddddd" w:space="0" w:sz="6" w:val="single"/>
          <w:right w:color="bbbbbb" w:space="0" w:sz="6" w:val="dashed"/>
        </w:tblBorders>
        <w:tblLayout w:type="fixed"/>
        <w:tblLook w:val="0400"/>
      </w:tblPr>
      <w:tblGrid>
        <w:gridCol w:w="2626"/>
        <w:gridCol w:w="5862"/>
        <w:tblGridChange w:id="0">
          <w:tblGrid>
            <w:gridCol w:w="2626"/>
            <w:gridCol w:w="58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PROPOSIÇÕES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COMISSÃO FINANÇAS E OÇAMENTO</w:t>
              <w:br w:type="textWrapping"/>
              <w:br w:type="textWrapping"/>
              <w:t xml:space="preserve"> 05/06/2025 às 11h30min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Projeto de Lei nº 016/2025 – de autoria do Poder Executivo.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Autoriza o Poder Executivo Municipal a celebrar Termo de Cooperação Técnica com a ASSOCIAÇÃO EMPRESARIAL DE FRANCISCO BELTRÃO - ACEFB e SOCIEDADE RURAL DE FRANCISCO BELTRÃO - SRFB, para realização da 32.ª EXPOBEL e dá outras providências.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Projeto de Lei nº  21/2025 – de autoria do Poder Executivo.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  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Autoriza o Município de FRANCISCO BELTRÃO a participar do Consórcio Intermunicipal de Educação e Ensino do Paraná.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Projeto de Lei nº  23/2025 – de autoria do Poder Legislativo.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Dispõe sobre a cobrança simbólica de ingresso para os shows realizados na Expobel e dá outras providências.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Projeto de Lei nº  27/2025 – de autoria do Poder Legislativo.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Institui o Fundo Municipal de Calçadas – FUMUC no Município de Francisco Beltrão e dá outras providências.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Projeto de Lei nº  28/2025 – de autoria do Poder Legislativo.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Altera dispositivos da Lei Municipal nº 2.152, de 10 de dezembro de 1993 (Código Tributário do Município de Francisco Beltrão) e dá outras providências.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D4B4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5D03D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M2Ij8F0DuYHx0KfLXkYPu/GsA==">CgMxLjA4AHIhMW95N0NtNkdpQ1ItSl92YUFJN2hBMWVXZ3BPR2pnQTBh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2025-04-14T11:56:00Z</dcterms:created>
  <dc:creator>User</dc:creator>
</cp:coreProperties>
</file>